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55F1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A990"/>
          <w:sz w:val="20"/>
          <w:szCs w:val="20"/>
          <w:lang w:val="en-US"/>
        </w:rPr>
      </w:pPr>
      <w:r w:rsidRPr="00B64B70">
        <w:rPr>
          <w:rFonts w:ascii="TrebuchetMS-Bold" w:hAnsi="TrebuchetMS-Bold" w:cs="TrebuchetMS-Bold"/>
          <w:b/>
          <w:bCs/>
          <w:color w:val="00A990"/>
          <w:sz w:val="20"/>
          <w:szCs w:val="20"/>
          <w:lang w:val="en-US"/>
        </w:rPr>
        <w:t>Lung alveolar regeneration by p16 deletion</w:t>
      </w:r>
    </w:p>
    <w:p w14:paraId="3A2EC00A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A990"/>
          <w:sz w:val="20"/>
          <w:szCs w:val="20"/>
          <w:lang w:val="en-US"/>
        </w:rPr>
      </w:pPr>
      <w:r w:rsidRPr="00B64B70">
        <w:rPr>
          <w:rFonts w:ascii="TrebuchetMS-Bold" w:hAnsi="TrebuchetMS-Bold" w:cs="TrebuchetMS-Bold"/>
          <w:b/>
          <w:bCs/>
          <w:color w:val="00A990"/>
          <w:sz w:val="20"/>
          <w:szCs w:val="20"/>
          <w:lang w:val="en-US"/>
        </w:rPr>
        <w:t>in alveolar epithelial cells</w:t>
      </w:r>
    </w:p>
    <w:p w14:paraId="2E8A1008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231F20"/>
          <w:sz w:val="16"/>
          <w:szCs w:val="16"/>
          <w:lang w:val="en-US"/>
        </w:rPr>
        <w:t xml:space="preserve">B. Ribeiro Baptista </w:t>
      </w:r>
      <w:proofErr w:type="gramStart"/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Nmtmi" w:hAnsi="Nmtmi" w:cs="Nmtmi"/>
          <w:color w:val="000000"/>
          <w:sz w:val="12"/>
          <w:szCs w:val="12"/>
          <w:lang w:val="en-US"/>
        </w:rPr>
        <w:t>,</w:t>
      </w:r>
      <w:r w:rsidRPr="00B64B70">
        <w:rPr>
          <w:rFonts w:ascii="Cambria Math" w:eastAsia="MTSY" w:hAnsi="Cambria Math" w:cs="Cambria Math"/>
          <w:color w:val="0081AD"/>
          <w:sz w:val="12"/>
          <w:szCs w:val="12"/>
          <w:lang w:val="en-US"/>
        </w:rPr>
        <w:t>∗</w:t>
      </w:r>
      <w:proofErr w:type="gram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, J. Gregoire 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, M.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Toigo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, M. Zysman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,</w:t>
      </w:r>
    </w:p>
    <w:p w14:paraId="0195D8EE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C. Thibault de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Menonville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, R. Belgacemi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, F. Chabot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2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,</w:t>
      </w:r>
    </w:p>
    <w:p w14:paraId="6CAFC3A7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S. Adnot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Nmtmi" w:hAnsi="Nmtmi" w:cs="Nmtmi"/>
          <w:color w:val="000000"/>
          <w:sz w:val="12"/>
          <w:szCs w:val="12"/>
          <w:lang w:val="en-US"/>
        </w:rPr>
        <w:t>,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3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, G. Derumeaux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Nmtmi" w:hAnsi="Nmtmi" w:cs="Nmtmi"/>
          <w:color w:val="000000"/>
          <w:sz w:val="12"/>
          <w:szCs w:val="12"/>
          <w:lang w:val="en-US"/>
        </w:rPr>
        <w:t>,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3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, J. Boczkowski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, L. Boyer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1</w:t>
      </w:r>
      <w:r w:rsidRPr="00B64B70">
        <w:rPr>
          <w:rFonts w:ascii="Nmtmi" w:hAnsi="Nmtmi" w:cs="Nmtmi"/>
          <w:color w:val="000000"/>
          <w:sz w:val="12"/>
          <w:szCs w:val="12"/>
          <w:lang w:val="en-US"/>
        </w:rPr>
        <w:t>,</w:t>
      </w:r>
      <w:r w:rsidRPr="00B64B70">
        <w:rPr>
          <w:rFonts w:ascii="TrebuchetMS" w:eastAsia="TrebuchetMS" w:hAnsi="TrebuchetMS-Bold" w:cs="TrebuchetMS"/>
          <w:color w:val="0081AD"/>
          <w:sz w:val="12"/>
          <w:szCs w:val="12"/>
          <w:lang w:val="en-US"/>
        </w:rPr>
        <w:t>3</w:t>
      </w:r>
    </w:p>
    <w:p w14:paraId="2DF1C96B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</w:pPr>
      <w:r w:rsidRPr="00B64B70">
        <w:rPr>
          <w:rFonts w:ascii="TrebuchetMS-Italic" w:hAnsi="TrebuchetMS-Italic" w:cs="TrebuchetMS-Italic"/>
          <w:i/>
          <w:iCs/>
          <w:color w:val="000000"/>
          <w:sz w:val="12"/>
          <w:szCs w:val="12"/>
          <w:lang w:val="en-US"/>
        </w:rPr>
        <w:t xml:space="preserve">1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Institut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Mondor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 de recherche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biomédicale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,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Inserm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,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université</w:t>
      </w:r>
      <w:proofErr w:type="spellEnd"/>
    </w:p>
    <w:p w14:paraId="2FC8D488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</w:pPr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Paris Est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Créteil</w:t>
      </w:r>
      <w:proofErr w:type="spellEnd"/>
    </w:p>
    <w:p w14:paraId="468E23E5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</w:pPr>
      <w:r w:rsidRPr="00B64B70">
        <w:rPr>
          <w:rFonts w:ascii="TrebuchetMS-Italic" w:hAnsi="TrebuchetMS-Italic" w:cs="TrebuchetMS-Italic"/>
          <w:i/>
          <w:iCs/>
          <w:color w:val="000000"/>
          <w:sz w:val="12"/>
          <w:szCs w:val="12"/>
          <w:lang w:val="en-US"/>
        </w:rPr>
        <w:t xml:space="preserve">2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Département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 de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pneumologie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, CHRU Nancy</w:t>
      </w:r>
    </w:p>
    <w:p w14:paraId="5603F4C3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</w:pPr>
      <w:r w:rsidRPr="00B64B70">
        <w:rPr>
          <w:rFonts w:ascii="TrebuchetMS-Italic" w:hAnsi="TrebuchetMS-Italic" w:cs="TrebuchetMS-Italic"/>
          <w:i/>
          <w:iCs/>
          <w:color w:val="000000"/>
          <w:sz w:val="12"/>
          <w:szCs w:val="12"/>
          <w:lang w:val="en-US"/>
        </w:rPr>
        <w:t xml:space="preserve">3 </w:t>
      </w:r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AP—HP,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hôpital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 Henri-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Mondor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,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physiologie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, </w:t>
      </w: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Créteil</w:t>
      </w:r>
      <w:proofErr w:type="spellEnd"/>
    </w:p>
    <w:p w14:paraId="70D1BE3E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</w:pPr>
      <w:r w:rsidRPr="00B64B70">
        <w:rPr>
          <w:rFonts w:ascii="Cambria Math" w:eastAsia="MTSY" w:hAnsi="Cambria Math" w:cs="Cambria Math"/>
          <w:color w:val="000000"/>
          <w:sz w:val="12"/>
          <w:szCs w:val="12"/>
          <w:lang w:val="en-US"/>
        </w:rPr>
        <w:t>∗</w:t>
      </w:r>
      <w:r w:rsidRPr="00B64B70">
        <w:rPr>
          <w:rFonts w:ascii="MTSY" w:eastAsia="MTSY" w:hAnsi="TrebuchetMS-Bold" w:cs="MTSY"/>
          <w:color w:val="000000"/>
          <w:sz w:val="12"/>
          <w:szCs w:val="12"/>
          <w:lang w:val="en-US"/>
        </w:rPr>
        <w:t xml:space="preserve"> </w:t>
      </w:r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Corresponding author.</w:t>
      </w:r>
    </w:p>
    <w:p w14:paraId="397C55D2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proofErr w:type="spell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Adresse</w:t>
      </w:r>
      <w:proofErr w:type="spell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 </w:t>
      </w:r>
      <w:proofErr w:type="gramStart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>e-mail :</w:t>
      </w:r>
      <w:proofErr w:type="gramEnd"/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 </w:t>
      </w:r>
      <w:r w:rsidRPr="00B64B70">
        <w:rPr>
          <w:rFonts w:ascii="TrebuchetMS" w:eastAsia="TrebuchetMS" w:hAnsi="TrebuchetMS-Bold" w:cs="TrebuchetMS"/>
          <w:color w:val="0081AD"/>
          <w:sz w:val="16"/>
          <w:szCs w:val="16"/>
          <w:lang w:val="en-US"/>
        </w:rPr>
        <w:t xml:space="preserve">bruno.baptista@hotmail.fr 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(B. Ribeiro Baptista)</w:t>
      </w:r>
    </w:p>
    <w:p w14:paraId="71F53885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Introduction 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Alveolar regeneration involves dynamic changes of</w:t>
      </w:r>
    </w:p>
    <w:p w14:paraId="67864159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a major progenitor cell in alveoli, alveolar type 2 cells (AT2) that</w:t>
      </w:r>
    </w:p>
    <w:p w14:paraId="2485D710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may be altered in alveolar diseases such as emphysema. Targeting</w:t>
      </w:r>
    </w:p>
    <w:p w14:paraId="3D985196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p16, a cell cycle inhibitor involved in stem cell fate, in AT2 could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be</w:t>
      </w:r>
      <w:proofErr w:type="gramEnd"/>
    </w:p>
    <w:p w14:paraId="177EB9FE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a way to restore AT2 plasticity and promote alveolar regeneration.</w:t>
      </w:r>
    </w:p>
    <w:p w14:paraId="73B1F839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Methods 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In vivo, morphological analysis (mean linear intercept),</w:t>
      </w:r>
    </w:p>
    <w:p w14:paraId="0D8C9055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AT2 (pro-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SpC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) number and KRT8+ cells were quantified in wild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type</w:t>
      </w:r>
      <w:proofErr w:type="gramEnd"/>
    </w:p>
    <w:p w14:paraId="6489B676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(WT) or p16-/- mice at D21, D90 and D150 after elastase (lung destruction)</w:t>
      </w:r>
    </w:p>
    <w:p w14:paraId="1229C5CE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or PBS instillation. In vitro alveolar organoids were used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to</w:t>
      </w:r>
      <w:proofErr w:type="gramEnd"/>
    </w:p>
    <w:p w14:paraId="679629C1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test the regenerative properties of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EpCAM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+ cells (from p16-/- or WT</w:t>
      </w:r>
    </w:p>
    <w:p w14:paraId="06CCBA9E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mice lung). Number and size of organoids were quantified at D14 of</w:t>
      </w:r>
    </w:p>
    <w:p w14:paraId="771FE948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culture.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bgalactosidase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staining was used to quantified senescence.</w:t>
      </w:r>
    </w:p>
    <w:p w14:paraId="1E455D9A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Senolytics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(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Dasatinib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+ Quercetin) were used in vitro on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organoids</w:t>
      </w:r>
      <w:proofErr w:type="gramEnd"/>
    </w:p>
    <w:p w14:paraId="6624ACE4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and in vivo between D21 and D90 (5/7 days) after elastase instillation.</w:t>
      </w:r>
    </w:p>
    <w:p w14:paraId="28099FC4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Single cell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RNAsequencing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was used to determine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EpCAM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+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cells</w:t>
      </w:r>
      <w:proofErr w:type="gramEnd"/>
    </w:p>
    <w:p w14:paraId="1442DC20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associated with a regenerative process in the lung and organoids.</w:t>
      </w:r>
    </w:p>
    <w:p w14:paraId="64037AC2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Results 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In vivo, p16 was overexpressed in AT2 of WT mice with a</w:t>
      </w:r>
    </w:p>
    <w:p w14:paraId="74895B16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lung destruction compared to control. Deletion of p16 was not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protective</w:t>
      </w:r>
      <w:proofErr w:type="gramEnd"/>
    </w:p>
    <w:p w14:paraId="54784970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for alveolar architecture at D21 in the elastase model, but</w:t>
      </w:r>
    </w:p>
    <w:p w14:paraId="25A61DA3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p16-/- mice had less alveolar destruction than WT mice at D90 and</w:t>
      </w:r>
    </w:p>
    <w:p w14:paraId="70CBC8C8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D150, highlighting a regeneration process occurring after D21. At</w:t>
      </w:r>
    </w:p>
    <w:p w14:paraId="54E2A74D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D21, p16 deletion in elastase mice was associated with an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increase</w:t>
      </w:r>
      <w:proofErr w:type="gramEnd"/>
    </w:p>
    <w:p w14:paraId="16391E8D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in number of AT2, increase of pro-SPC + KRT8+ cells and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decrease</w:t>
      </w:r>
      <w:proofErr w:type="gramEnd"/>
    </w:p>
    <w:p w14:paraId="2855B814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of senescence. Organoids made with epithelial cells from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injured</w:t>
      </w:r>
      <w:proofErr w:type="gramEnd"/>
    </w:p>
    <w:p w14:paraId="7B839B39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lung of WT mice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were</w:t>
      </w:r>
      <w:proofErr w:type="gram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fewer and smaller than PBS injected mice.</w:t>
      </w:r>
    </w:p>
    <w:p w14:paraId="02E6D03F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Number and size of organoids made with lung epithelial p16-/-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elastase</w:t>
      </w:r>
      <w:proofErr w:type="gramEnd"/>
    </w:p>
    <w:p w14:paraId="6BCFC226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mice cells were more numerous and bigger than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organoids</w:t>
      </w:r>
      <w:proofErr w:type="gramEnd"/>
    </w:p>
    <w:p w14:paraId="1C580DAA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made with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EpCAM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+ WT elastase mice. Supplementation of organoids</w:t>
      </w:r>
    </w:p>
    <w:p w14:paraId="791105DA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medium with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senolytics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decrease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bgalactosidase</w:t>
      </w:r>
      <w:proofErr w:type="spell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staining of</w:t>
      </w:r>
    </w:p>
    <w:p w14:paraId="1D1A66E5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organoids and increase the number and size of organoids. </w:t>
      </w:r>
      <w:proofErr w:type="spell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Senolytics</w:t>
      </w:r>
      <w:proofErr w:type="spellEnd"/>
    </w:p>
    <w:p w14:paraId="18EA2BD9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in vivo demonstrate a regenerative alveoli process occurring in</w:t>
      </w:r>
    </w:p>
    <w:p w14:paraId="6AA0D056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a curative manner between D21 and D90. Single cell analysis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showed</w:t>
      </w:r>
      <w:proofErr w:type="gramEnd"/>
    </w:p>
    <w:p w14:paraId="36656F66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an increase, exclusively in p16-/- emphysematous lung, of a specific</w:t>
      </w:r>
    </w:p>
    <w:p w14:paraId="6C6F7511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cluster of AT2 cells expressing KRT8 that need to be described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more</w:t>
      </w:r>
      <w:proofErr w:type="gramEnd"/>
    </w:p>
    <w:p w14:paraId="0AEB054A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precisely.</w:t>
      </w:r>
    </w:p>
    <w:p w14:paraId="7536A1F3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Conclusions </w:t>
      </w: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Targeting p16 may reverse alveolar epithelial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cell</w:t>
      </w:r>
      <w:proofErr w:type="gramEnd"/>
    </w:p>
    <w:p w14:paraId="4BEFDEB6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dysfunction and increases endogenous alveolar regeneration by</w:t>
      </w:r>
    </w:p>
    <w:p w14:paraId="4C3FDAA3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increase a new subpopulation of AT2 characterized by KRT8+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markers</w:t>
      </w:r>
      <w:proofErr w:type="gramEnd"/>
    </w:p>
    <w:p w14:paraId="48B375FB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and associated with p16possenescent cells elimination.</w:t>
      </w:r>
    </w:p>
    <w:p w14:paraId="27C20510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-Italic" w:hAnsi="TrebuchetMS-Italic" w:cs="TrebuchetMS-Italic"/>
          <w:i/>
          <w:iCs/>
          <w:color w:val="000000"/>
          <w:sz w:val="16"/>
          <w:szCs w:val="16"/>
          <w:lang w:val="en-US"/>
        </w:rPr>
        <w:t xml:space="preserve">Disclosure of interest </w:t>
      </w:r>
      <w:proofErr w:type="gramStart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The</w:t>
      </w:r>
      <w:proofErr w:type="gramEnd"/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 xml:space="preserve"> authors declare that they have no competing</w:t>
      </w:r>
    </w:p>
    <w:p w14:paraId="5948F959" w14:textId="77777777" w:rsidR="00B64B70" w:rsidRPr="00B64B70" w:rsidRDefault="00B64B70" w:rsidP="00B64B70">
      <w:pPr>
        <w:autoSpaceDE w:val="0"/>
        <w:autoSpaceDN w:val="0"/>
        <w:adjustRightInd w:val="0"/>
        <w:spacing w:after="0" w:line="240" w:lineRule="auto"/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</w:pPr>
      <w:r w:rsidRPr="00B64B70">
        <w:rPr>
          <w:rFonts w:ascii="TrebuchetMS" w:eastAsia="TrebuchetMS" w:hAnsi="TrebuchetMS-Bold" w:cs="TrebuchetMS"/>
          <w:color w:val="000000"/>
          <w:sz w:val="16"/>
          <w:szCs w:val="16"/>
          <w:lang w:val="en-US"/>
        </w:rPr>
        <w:t>interest.</w:t>
      </w:r>
    </w:p>
    <w:p w14:paraId="239BA0FC" w14:textId="5F92B08F" w:rsidR="00F72DFB" w:rsidRPr="00B64B70" w:rsidRDefault="00B64B70" w:rsidP="00B64B70">
      <w:pPr>
        <w:rPr>
          <w:lang w:val="en-US"/>
        </w:rPr>
      </w:pPr>
      <w:r w:rsidRPr="00B64B70">
        <w:rPr>
          <w:rFonts w:ascii="TrebuchetMS" w:eastAsia="TrebuchetMS" w:hAnsi="TrebuchetMS-Bold" w:cs="TrebuchetMS"/>
          <w:color w:val="0081AD"/>
          <w:sz w:val="16"/>
          <w:szCs w:val="16"/>
          <w:lang w:val="en-US"/>
        </w:rPr>
        <w:t>https://doi.org/10.1016/j.rmr.2022.11.012</w:t>
      </w:r>
    </w:p>
    <w:sectPr w:rsidR="00F72DFB" w:rsidRPr="00B6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mt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SY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ebuchetM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70"/>
    <w:rsid w:val="00B64B70"/>
    <w:rsid w:val="00F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01C8"/>
  <w15:chartTrackingRefBased/>
  <w15:docId w15:val="{3DA8FE0B-E52A-4693-BD0B-D929626A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CHERY</dc:creator>
  <cp:keywords/>
  <dc:description/>
  <cp:lastModifiedBy>Sylvie CHERY</cp:lastModifiedBy>
  <cp:revision>1</cp:revision>
  <dcterms:created xsi:type="dcterms:W3CDTF">2023-02-20T11:04:00Z</dcterms:created>
  <dcterms:modified xsi:type="dcterms:W3CDTF">2023-02-20T11:06:00Z</dcterms:modified>
</cp:coreProperties>
</file>